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jc w:val="center"/>
        <w:rPr>
          <w:rFonts w:ascii="微软雅黑" w:hAnsi="微软雅黑" w:eastAsia="微软雅黑" w:cs="微软雅黑"/>
          <w:b/>
          <w:color w:val="4B4B4B"/>
          <w:sz w:val="24"/>
          <w:szCs w:val="24"/>
        </w:rPr>
      </w:pPr>
      <w:r>
        <w:rPr>
          <w:rFonts w:hint="eastAsia" w:ascii="微软雅黑" w:hAnsi="微软雅黑" w:eastAsia="微软雅黑" w:cs="微软雅黑"/>
          <w:b/>
          <w:i w:val="0"/>
          <w:caps w:val="0"/>
          <w:color w:val="4B4B4B"/>
          <w:spacing w:val="0"/>
          <w:sz w:val="24"/>
          <w:szCs w:val="24"/>
          <w:bdr w:val="none" w:color="auto" w:sz="0" w:space="0"/>
          <w:shd w:val="clear" w:fill="FFFFFF"/>
        </w:rPr>
        <w:t>中华人民共和国教育部令第40号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《高等学校预防与处理学术不端行为办法》已于2016年4月5日经教育部2016年第14次部长办公会议审议通过，现予发布，自2016年9月1日起施行。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教育部部长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2016年6月16日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w:t>
      </w:r>
      <w:r>
        <w:rPr>
          <w:rStyle w:val="4"/>
          <w:rFonts w:hint="eastAsia" w:ascii="微软雅黑" w:hAnsi="微软雅黑" w:eastAsia="微软雅黑" w:cs="微软雅黑"/>
          <w:i w:val="0"/>
          <w:caps w:val="0"/>
          <w:color w:val="4B4B4B"/>
          <w:spacing w:val="0"/>
          <w:sz w:val="24"/>
          <w:szCs w:val="24"/>
          <w:bdr w:val="none" w:color="auto" w:sz="0" w:space="0"/>
          <w:shd w:val="clear" w:fill="FFFFFF"/>
        </w:rPr>
        <w:t>高等学校预防与处理学术不端行为办法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4B4B4B"/>
          <w:sz w:val="24"/>
          <w:szCs w:val="24"/>
        </w:rPr>
      </w:pPr>
      <w:r>
        <w:rPr>
          <w:rStyle w:val="4"/>
          <w:rFonts w:hint="eastAsia" w:ascii="微软雅黑" w:hAnsi="微软雅黑" w:eastAsia="微软雅黑" w:cs="微软雅黑"/>
          <w:i w:val="0"/>
          <w:caps w:val="0"/>
          <w:color w:val="4B4B4B"/>
          <w:spacing w:val="0"/>
          <w:sz w:val="24"/>
          <w:szCs w:val="24"/>
          <w:bdr w:val="none" w:color="auto" w:sz="0" w:space="0"/>
          <w:shd w:val="clear" w:fill="FFFFFF"/>
        </w:rPr>
        <w:t>　　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第一条　为有效预防和严肃查处高等学校发生的学术不端行为，维护学术诚信，促进学术创新和发展，根据《中华人民共和国高等教育法》《中华人民共和国科学技术进步法》《中华人民共和国学位条例》等法律法规，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第二条　本办法所称学术不端行为是指高等学校及其教学科研人员、管理人员和学生，在科学研究及相关活动中发生的违反公认的学术准则、违背学术诚信的行为。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第三条　高等学校预防与处理学术不端行为应坚持预防为主、教育与惩戒结合的原则。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第四条　教育部、国务院有关部门和省级教育部门负责制定高等学校学风建设的宏观政策，指导和监督高等学校学风建设工作，建立健全对所主管高等学校重大学术不端行为的处理机制，建立高校学术不端行为的通报与相关信息公开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第五条　高等学校是学术不端行为预防与处理的主体。高等学校应当建设集教育、预防、监督、惩治于一体的学术诚信体系，建立由主要负责人领导的学风建设工作机制，明确职责分工；依据本办法完善本校学术不端行为预防与处理的规则与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高等学校应当充分发挥学术委员会在学风建设方面的作用，支持和保障学术委员会依法履行职责，调查、认定学术不端行为。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w:t>
      </w:r>
      <w:r>
        <w:rPr>
          <w:rStyle w:val="4"/>
          <w:rFonts w:hint="eastAsia" w:ascii="微软雅黑" w:hAnsi="微软雅黑" w:eastAsia="微软雅黑" w:cs="微软雅黑"/>
          <w:i w:val="0"/>
          <w:caps w:val="0"/>
          <w:color w:val="4B4B4B"/>
          <w:spacing w:val="0"/>
          <w:sz w:val="24"/>
          <w:szCs w:val="24"/>
          <w:bdr w:val="none" w:color="auto" w:sz="0" w:space="0"/>
          <w:shd w:val="clear" w:fill="FFFFFF"/>
        </w:rPr>
        <w:t>第二章　教育与预防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第六条　高等学校应当完善学术治理体系，建立科学公正的学术评价和学术发展制度，营造鼓励创新、宽容失败、不骄不躁、风清气正的学术环境。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高等学校教学科研人员、管理人员、学生在科研活动中应当遵循实事求是的科学精神和严谨认真的治学态度，恪守学术诚信，遵循学术准则，尊重和保护他人知识产权等合法权益。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第七条　高等学校应当将学术规范和学术诚信教育，作为教师培训和学生教育的必要内容，以多种形式开展教育、培训。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教师对其指导的学生应当进行学术规范、学术诚信教育和指导，对学生公开发表论文、研究和撰写学位论文是否符合学术规范、学术诚信要求，进行必要的检查与审核。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第八条　高等学校应当利用信息技术等手段，建立对学术成果、学位论文所涉及内容的知识产权查询制度，健全学术规范监督机制。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第九条　高等学校应当建立健全科研管理制度，在合理期限内保存研究的原始数据和资料，保证科研档案和数据的真实性、完整性。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高等学校应当完善科研项目评审、学术成果鉴定程序，结合学科特点，对非涉密的科研项目申报材料、学术成果的基本信息以适当方式进行公开。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第十条　高等学校应当遵循学术研究规律，建立科学的学术水平考核评价标准、办法，引导教学科研人员和学生潜心研究，形成具有创新性、独创性的研究成果。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第十一条　高等学校应当建立教学科研人员学术诚信记录，在年度考核、职称评定、岗位聘用、课题立项、人才计划、评优奖励中强化学术诚信考核。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w:t>
      </w:r>
      <w:r>
        <w:rPr>
          <w:rStyle w:val="4"/>
          <w:rFonts w:hint="eastAsia" w:ascii="微软雅黑" w:hAnsi="微软雅黑" w:eastAsia="微软雅黑" w:cs="微软雅黑"/>
          <w:i w:val="0"/>
          <w:caps w:val="0"/>
          <w:color w:val="4B4B4B"/>
          <w:spacing w:val="0"/>
          <w:sz w:val="24"/>
          <w:szCs w:val="24"/>
          <w:bdr w:val="none" w:color="auto" w:sz="0" w:space="0"/>
          <w:shd w:val="clear" w:fill="FFFFFF"/>
        </w:rPr>
        <w:t>第三章　受理与调查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第十二条　高等学校应当明确具体部门，负责受理社会组织、个人对本校教学科研人员、管理人员及学生学术不端行为的举报；有条件的，可以设立专门岗位或者指定专人，负责学术诚信和不端行为举报相关事宜的咨询、受理、调查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第十三条　对学术不端行为的举报，一般应当以书面方式实名提出，并符合下列条件：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（一）有明确的举报对象；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（二）有实施学术不端行为的事实；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（三）有客观的证据材料或者查证线索。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以匿名方式举报，但事实清楚、证据充分或者线索明确的，高等学校应当视情况予以受理。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第十四条　高等学校对媒体公开报道、其他学术机构或者社会组织主动披露的涉及本校人员的学术不端行为，应当依据职权，主动进行调查处理。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第十五条　高等学校受理机构认为举报材料符合条件的，应当及时作出受理决定，并通知举报人。不予受理的，应当书面说明理由。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第十六条　学术不端行为举报受理后，应当交由学校学术委员会按照相关程序组织开展调查。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学术委员会可委托有关专家就举报内容的合理性、调查的可能性等进行初步审查，并作出是否进入正式调查的决定。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决定不进入正式调查的，应当告知举报人。举报人如有新的证据，可以提出异议。异议成立的，应当进入正式调查。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第十七条　高等学校学术委员会决定进入正式调查的，应当通知被举报人。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被调查行为涉及资助项目的，可以同时通知项目资助方。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第十八条　高等学校学术委员会应当组成调查组，负责对被举报行为进行调查；但对事实清楚、证据确凿、情节简单的被举报行为，也可以采用简易调查程序，具体办法由学术委员会确定。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调查组应当不少于３人，必要时应当包括学校纪检、监察机构指派的工作人员，可以邀请同行专家参与调查或者以咨询等方式提供学术判断。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被调查行为涉及资助项目的，可以邀请项目资助方委派相关专业人员参与调查组。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第十九条　调查组的组成人员与举报人或者被举报人有合作研究、亲属或者导师学生等直接利害关系的，应当回避。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第二十条　调查可通过查询资料、现场查看、实验检验、询问证人、询问举报人和被举报人等方式进行。调查组认为有必要的，可以委托无利害关系的专家或者第三方专业机构就有关事项进行独立调查或者验证。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第二十一条　调查组在调查过程中，应当认真听取被举报人的陈述、申辩，对有关事实、理由和证据进行核实；认为必要的，可以采取听证方式。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第二十二条　有关单位和个人应当为调查组开展工作提供必要的便利和协助。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举报人、被举报人、证人及其他有关人员应当如实回答询问，配合调查，提供相关证据材料，不得隐瞒或者提供虚假信息。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第二十三条　调查过程中，出现知识产权等争议引发的法律纠纷的，且该争议可能影响行为定性的，应当中止调查，待争议解决后重启调查。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第二十四条　调查组应当在查清事实的基础上形成调查报告。调查报告应当包括学术不端行为责任人的确认、调查过程、事实认定及理由、调查结论等。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学术不端行为由多人集体做出的，调查报告中应当区别各责任人在行为中所发挥的作用。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第二十五条　接触举报材料和参与调查处理的人员，不得向无关人员透露举报人、被举报人个人信息及调查情况。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w:t>
      </w:r>
      <w:r>
        <w:rPr>
          <w:rStyle w:val="4"/>
          <w:rFonts w:hint="eastAsia" w:ascii="微软雅黑" w:hAnsi="微软雅黑" w:eastAsia="微软雅黑" w:cs="微软雅黑"/>
          <w:i w:val="0"/>
          <w:caps w:val="0"/>
          <w:color w:val="4B4B4B"/>
          <w:spacing w:val="0"/>
          <w:sz w:val="24"/>
          <w:szCs w:val="24"/>
          <w:bdr w:val="none" w:color="auto" w:sz="0" w:space="0"/>
          <w:shd w:val="clear" w:fill="FFFFFF"/>
        </w:rPr>
        <w:t>第四章　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第二十六条　高等学校学术委员会应当对调查组提交的调查报告进行审查；必要的，应当听取调查组的汇报。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学术委员会可以召开全体会议或者授权专门委员会对被调查行为是否构成学术不端行为以及行为的性质、情节等作出认定结论，并依职权作出处理或建议学校作出相应处理。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第二十七条　经调查，确认被举报人在科学研究及相关活动中有下列行为之一的，应当认定为构成学术不端行为：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（一）剽窃、抄袭、侵占他人学术成果；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（二）篡改他人研究成果；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（三）伪造科研数据、资料、文献、注释，或者捏造事实、编造虚假研究成果；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（四）未参加研究或创作而在研究成果、学术论文上署名，未经他人许可而不当使用他人署名，虚构合作者共同署名，或者多人共同完成研究而在成果中未注明他人工作、贡献；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（五）在申报课题、成果、奖励和职务评审评定、申请学位等过程中提供虚假学术信息；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（六）买卖论文、由他人代写或者为他人代写论文；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（七）其他根据高等学校或者有关学术组织、相关科研管理机构制定的规则，属于学术不端的行为。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第二十八条　有学术不端行为且有下列情形之一的，应当认定为情节严重：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（一）造成恶劣影响的；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（二）存在利益输送或者利益交换的；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（三）对举报人进行打击报复的；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（四）有组织实施学术不端行为的；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（五）多次实施学术不端行为的；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（六）其他造成严重后果或者恶劣影响的。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w:t>
      </w:r>
      <w:r>
        <w:rPr>
          <w:rStyle w:val="4"/>
          <w:rFonts w:hint="eastAsia" w:ascii="微软雅黑" w:hAnsi="微软雅黑" w:eastAsia="微软雅黑" w:cs="微软雅黑"/>
          <w:i w:val="0"/>
          <w:caps w:val="0"/>
          <w:color w:val="4B4B4B"/>
          <w:spacing w:val="0"/>
          <w:sz w:val="24"/>
          <w:szCs w:val="24"/>
          <w:bdr w:val="none" w:color="auto" w:sz="0" w:space="0"/>
          <w:shd w:val="clear" w:fill="FFFFFF"/>
        </w:rPr>
        <w:t>第五章　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第二十九条　高等学校应当根据学术委员会的认定结论和处理建议，结合行为性质和情节轻重，依职权和规定程序对学术不端行为责任人作出如下处理：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（一）通报批评；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（二）终止或者撤销相关的科研项目，并在一定期限内取消申请资格；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（三）撤销学术奖励或者荣誉称号；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（四）辞退或解聘；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（五）法律、法规及规章规定的其他处理措施。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同时，可以依照有关规定，给予警告、记过、降低岗位等级或者撤职、开除等处分。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学术不端行为责任人获得有关部门、机构设立的科研项目、学术奖励或者荣誉称号等利益的，学校应当同时向有关主管部门提出处理建议。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学生有学术不端行为的，还应当按照学生管理的相关规定，给予相应的学籍处分。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学术不端行为与获得学位有直接关联的，由学位授予单位作暂缓授予学位、不授予学位或者依法撤销学位等处理。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第三十条　高等学校对学术不端行为作出处理决定，应当制作处理决定书，载明以下内容：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（一）责任人的基本情况；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（二）经查证的学术不端行为事实；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（三）处理意见和依据；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（四）救济途径和期限；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（五）其他必要内容。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第三十一条　经调查认定，不构成学术不端行为的，根据被举报人申请，高等学校应当通过一定方式为其消除影响、恢复名誉等。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调查处理过程中，发现举报人存在捏造事实、诬告陷害等行为的，应当认定为举报不实或者虚假举报，举报人应当承担相应责任。属于本单位人员的，高等学校应当按照有关规定给予处理；不属于本单位人员的，应通报其所在单位，并提出处理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第三十二条　参与举报受理、调查和处理的人员违反保密等规定，造成不良影响的，按照有关规定给予处分或其他处理。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w:t>
      </w:r>
      <w:r>
        <w:rPr>
          <w:rStyle w:val="4"/>
          <w:rFonts w:hint="eastAsia" w:ascii="微软雅黑" w:hAnsi="微软雅黑" w:eastAsia="微软雅黑" w:cs="微软雅黑"/>
          <w:i w:val="0"/>
          <w:caps w:val="0"/>
          <w:color w:val="4B4B4B"/>
          <w:spacing w:val="0"/>
          <w:sz w:val="24"/>
          <w:szCs w:val="24"/>
          <w:bdr w:val="none" w:color="auto" w:sz="0" w:space="0"/>
          <w:shd w:val="clear" w:fill="FFFFFF"/>
        </w:rPr>
        <w:t>第六章　复核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第三十三条　举报人或者学术不端行为责任人对处理决定不服的，可以在收到处理决定之日起30日内，以书面形式向高等学校提出异议或者复核申请。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异议和复核不影响处理决定的执行。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第三十四条　高等学校收到异议或者复核申请后，应当交由学术委员会组织讨论，并于15日内作出是否受理的决定。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决定受理的，学校或者学术委员会可以另行组织调查组或者委托第三方机构进行调查；决定不予受理的，应当书面通知当事人。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第三十五条　当事人对复核决定不服，仍以同一事实和理由提出异议或者申请复核的，不予受理；向有关主管部门提出申诉的，按照相关规定执行。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w:t>
      </w:r>
      <w:r>
        <w:rPr>
          <w:rStyle w:val="4"/>
          <w:rFonts w:hint="eastAsia" w:ascii="微软雅黑" w:hAnsi="微软雅黑" w:eastAsia="微软雅黑" w:cs="微软雅黑"/>
          <w:i w:val="0"/>
          <w:caps w:val="0"/>
          <w:color w:val="4B4B4B"/>
          <w:spacing w:val="0"/>
          <w:sz w:val="24"/>
          <w:szCs w:val="24"/>
          <w:bdr w:val="none" w:color="auto" w:sz="0" w:space="0"/>
          <w:shd w:val="clear" w:fill="FFFFFF"/>
        </w:rPr>
        <w:t>第七章　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第三十六条　高等学校应当按年度发布学风建设工作报告，并向社会公开，接受社会监督。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第三十七条　高等学校处理学术不端行为推诿塞责、隐瞒包庇、查处不力的，主管部门可以直接组织或者委托相关机构查处。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第三十八条　高等学校对本校发生的学术不端行为，未能及时查处并做出公正结论，造成恶劣影响的，主管部门应当追究相关领导的责任，并进行通报。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高等学校为获得相关利益，有组织实施学术不端行为的，主管部门调查确认后，应当撤销高等学校由此获得的相关权利、项目以及其他利益，并追究学校主要负责人、直接负责人的责任。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w:t>
      </w:r>
      <w:r>
        <w:rPr>
          <w:rStyle w:val="4"/>
          <w:rFonts w:hint="eastAsia" w:ascii="微软雅黑" w:hAnsi="微软雅黑" w:eastAsia="微软雅黑" w:cs="微软雅黑"/>
          <w:i w:val="0"/>
          <w:caps w:val="0"/>
          <w:color w:val="4B4B4B"/>
          <w:spacing w:val="0"/>
          <w:sz w:val="24"/>
          <w:szCs w:val="24"/>
          <w:bdr w:val="none" w:color="auto" w:sz="0" w:space="0"/>
          <w:shd w:val="clear" w:fill="FFFFFF"/>
        </w:rPr>
        <w:t>第八章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第三十九条　高等学校应当根据本办法，结合学校实际和学科特点，制定本校学术不端行为查处规则及处理办法，明确各类学术不端行为的惩处标准。有关规则应当经学校学术委员会和教职工代表大会讨论通过。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第四十条　高等学校主管部门对直接受理的学术不端案件，可自行组织调查组或者指定、委托高等学校、有关机构组织调查、认定。对学术不端行为责任人的处理，根据本办法及国家有关规定执行。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教育系统所属科研机构及其他单位有关人员学术不端行为的调查与处理，可参照本办法执行。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第四十一条　本办法自2016年9月1日起施行。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教育部此前发布的有关规章、文件中的相关规定与本办法不一致的，以本办法为准。</w:t>
      </w:r>
    </w:p>
    <w:p>
      <w:pPr>
        <w:keepNext w:val="0"/>
        <w:keepLines w:val="0"/>
        <w:pageBreakBefore w:val="0"/>
        <w:kinsoku/>
        <w:wordWrap/>
        <w:overflowPunct/>
        <w:topLinePunct w:val="0"/>
        <w:autoSpaceDE/>
        <w:autoSpaceDN/>
        <w:bidi w:val="0"/>
        <w:adjustRightInd/>
        <w:snapToGrid/>
        <w:ind w:left="0" w:leftChars="0" w:right="0" w:rightChars="0" w:firstLine="480" w:firstLineChars="200"/>
        <w:jc w:val="both"/>
        <w:textAlignment w:val="auto"/>
        <w:outlineLvl w:val="9"/>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FF2DE0"/>
    <w:rsid w:val="733B40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2017-05-11T09:49:45Z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